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00"/>
        <w:jc w:val="center"/>
      </w:pPr>
      <w:r>
        <w:rPr>
          <w:b/>
          <w:color w:val="1F4E79"/>
          <w:sz w:val="30"/>
        </w:rPr>
        <w:t>AL DIRECTOR GENERAL DE ENERGÍA</w:t>
      </w:r>
    </w:p>
    <w:p>
      <w:pPr>
        <w:jc w:val="center"/>
      </w:pPr>
      <w:r>
        <w:rPr>
          <w:b/>
          <w:sz w:val="23"/>
        </w:rPr>
        <w:t>CONSEJERÍA DE TRANSICIÓN ECOLÓGICA Y ENERGÍA</w:t>
        <w:br/>
        <w:t>GOBIERNO DE CANARIAS</w:t>
      </w:r>
    </w:p>
    <w:p/>
    <w:tbl>
      <w:tblPr>
        <w:tblStyle w:val="TableGrid"/>
        <w:tblW w:type="auto" w:w="0"/>
        <w:jc w:val="center"/>
        <w:tblLayout w:type="autofit"/>
        <w:tblLook w:firstColumn="1" w:firstRow="1" w:lastColumn="0" w:lastRow="0" w:noHBand="0" w:noVBand="1" w:val="04A0"/>
      </w:tblPr>
      <w:tblGrid>
        <w:gridCol w:w="4929"/>
        <w:gridCol w:w="4929"/>
      </w:tblGrid>
      <w:tr>
        <w:tc>
          <w:tcPr>
            <w:tcW w:type="dxa" w:w="4929"/>
            <w:vAlign w:val="center"/>
            <w:shd w:fill="1F4E79"/>
          </w:tcPr>
          <w:p>
            <w:pPr>
              <w:jc w:val="center"/>
            </w:pPr>
            <w:r/>
            <w:r>
              <w:rPr>
                <w:rFonts w:ascii="Aptos" w:hAnsi="Aptos"/>
                <w:b/>
                <w:color w:val="FFFFFF"/>
                <w:sz w:val="17"/>
              </w:rPr>
              <w:t>EXPEDIENTE</w:t>
            </w:r>
          </w:p>
        </w:tc>
        <w:tc>
          <w:tcPr>
            <w:tcW w:type="dxa" w:w="4929"/>
            <w:vAlign w:val="center"/>
          </w:tcPr>
          <w:p>
            <w:r/>
            <w:r>
              <w:rPr>
                <w:rFonts w:ascii="Aptos" w:hAnsi="Aptos"/>
                <w:b w:val="0"/>
                <w:sz w:val="17"/>
              </w:rPr>
              <w:t>ER250026</w:t>
            </w:r>
          </w:p>
        </w:tc>
      </w:tr>
      <w:tr>
        <w:tc>
          <w:tcPr>
            <w:tcW w:type="dxa" w:w="4929"/>
            <w:vAlign w:val="center"/>
            <w:shd w:fill="1F4E79"/>
          </w:tcPr>
          <w:p>
            <w:pPr>
              <w:jc w:val="center"/>
            </w:pPr>
            <w:r/>
            <w:r>
              <w:rPr>
                <w:rFonts w:ascii="Aptos" w:hAnsi="Aptos"/>
                <w:b/>
                <w:color w:val="FFFFFF"/>
                <w:sz w:val="17"/>
              </w:rPr>
              <w:t>INSTALACIÓN</w:t>
            </w:r>
          </w:p>
        </w:tc>
        <w:tc>
          <w:tcPr>
            <w:tcW w:type="dxa" w:w="4929"/>
            <w:vAlign w:val="center"/>
          </w:tcPr>
          <w:p>
            <w:r/>
            <w:r>
              <w:rPr>
                <w:rFonts w:ascii="Aptos" w:hAnsi="Aptos"/>
                <w:b w:val="0"/>
                <w:sz w:val="17"/>
              </w:rPr>
              <w:t>FTV STA AGUEDA - I · Planta fotovoltaica de vertido a red de 2.400 kW</w:t>
            </w:r>
          </w:p>
        </w:tc>
      </w:tr>
      <w:tr>
        <w:tc>
          <w:tcPr>
            <w:tcW w:type="dxa" w:w="4929"/>
            <w:vAlign w:val="center"/>
            <w:shd w:fill="1F4E79"/>
          </w:tcPr>
          <w:p>
            <w:pPr>
              <w:jc w:val="center"/>
            </w:pPr>
            <w:r/>
            <w:r>
              <w:rPr>
                <w:rFonts w:ascii="Aptos" w:hAnsi="Aptos"/>
                <w:b/>
                <w:color w:val="FFFFFF"/>
                <w:sz w:val="17"/>
              </w:rPr>
              <w:t>PROMOTOR</w:t>
            </w:r>
          </w:p>
        </w:tc>
        <w:tc>
          <w:tcPr>
            <w:tcW w:type="dxa" w:w="4929"/>
            <w:vAlign w:val="center"/>
          </w:tcPr>
          <w:p>
            <w:r/>
            <w:r>
              <w:rPr>
                <w:rFonts w:ascii="Aptos" w:hAnsi="Aptos"/>
                <w:b w:val="0"/>
                <w:sz w:val="17"/>
              </w:rPr>
              <w:t>TRAVESÍA CAPITAL, S.L.</w:t>
            </w:r>
          </w:p>
        </w:tc>
      </w:tr>
      <w:tr>
        <w:tc>
          <w:tcPr>
            <w:tcW w:type="dxa" w:w="4929"/>
            <w:vAlign w:val="center"/>
            <w:shd w:fill="1F4E79"/>
          </w:tcPr>
          <w:p>
            <w:pPr>
              <w:jc w:val="center"/>
            </w:pPr>
            <w:r/>
            <w:r>
              <w:rPr>
                <w:rFonts w:ascii="Aptos" w:hAnsi="Aptos"/>
                <w:b/>
                <w:color w:val="FFFFFF"/>
                <w:sz w:val="17"/>
              </w:rPr>
              <w:t>PUBLICACIÓN</w:t>
            </w:r>
          </w:p>
        </w:tc>
        <w:tc>
          <w:tcPr>
            <w:tcW w:type="dxa" w:w="4929"/>
            <w:vAlign w:val="center"/>
          </w:tcPr>
          <w:p>
            <w:r/>
            <w:r>
              <w:rPr>
                <w:rFonts w:ascii="Aptos" w:hAnsi="Aptos"/>
                <w:b w:val="0"/>
                <w:sz w:val="17"/>
              </w:rPr>
              <w:t>BOC n.º 185, de 15 de septiembre de 2026 · Anuncio 3257</w:t>
            </w:r>
          </w:p>
        </w:tc>
      </w:tr>
      <w:tr>
        <w:tc>
          <w:tcPr>
            <w:tcW w:type="dxa" w:w="4929"/>
            <w:vAlign w:val="center"/>
            <w:shd w:fill="1F4E79"/>
          </w:tcPr>
          <w:p>
            <w:pPr>
              <w:jc w:val="center"/>
            </w:pPr>
            <w:r/>
            <w:r>
              <w:rPr>
                <w:rFonts w:ascii="Aptos" w:hAnsi="Aptos"/>
                <w:b/>
                <w:color w:val="FFFFFF"/>
                <w:sz w:val="17"/>
              </w:rPr>
              <w:t>ASUNTO</w:t>
            </w:r>
          </w:p>
        </w:tc>
        <w:tc>
          <w:tcPr>
            <w:tcW w:type="dxa" w:w="4929"/>
            <w:vAlign w:val="center"/>
          </w:tcPr>
          <w:p>
            <w:r/>
            <w:r>
              <w:rPr>
                <w:rFonts w:ascii="Aptos" w:hAnsi="Aptos"/>
                <w:b w:val="0"/>
                <w:sz w:val="17"/>
              </w:rPr>
              <w:t>Alegaciones en el trámite de información pública</w:t>
            </w:r>
          </w:p>
        </w:tc>
      </w:tr>
    </w:tbl>
    <w:p/>
    <w:p>
      <w:r>
        <w:rPr>
          <w:b/>
          <w:color w:val="1F4E79"/>
          <w:sz w:val="22"/>
        </w:rPr>
        <w:t>DATOS DE LA PERSONA COMPARECIENTE</w:t>
      </w:r>
    </w:p>
    <w:tbl>
      <w:tblPr>
        <w:tblStyle w:val="TableGrid"/>
        <w:tblW w:type="auto" w:w="0"/>
        <w:jc w:val="center"/>
        <w:tblLook w:firstColumn="1" w:firstRow="1" w:lastColumn="0" w:lastRow="0" w:noHBand="0" w:noVBand="1" w:val="04A0"/>
      </w:tblPr>
      <w:tblGrid>
        <w:gridCol w:w="4929"/>
        <w:gridCol w:w="4929"/>
      </w:tblGrid>
      <w:tr>
        <w:tc>
          <w:tcPr>
            <w:tcW w:type="dxa" w:w="4929"/>
            <w:vAlign w:val="center"/>
          </w:tcPr>
          <w:p>
            <w:r/>
            <w:r>
              <w:rPr>
                <w:rFonts w:ascii="Aptos" w:hAnsi="Aptos"/>
                <w:b/>
                <w:sz w:val="17"/>
              </w:rPr>
              <w:t>Nombre y apellidos</w:t>
            </w:r>
          </w:p>
        </w:tc>
        <w:tc>
          <w:tcPr>
            <w:tcW w:type="dxa" w:w="4929"/>
            <w:vAlign w:val="center"/>
            <w:shd w:fill="FFF2CC"/>
          </w:tcPr>
          <w:p>
            <w:r/>
            <w:r>
              <w:rPr>
                <w:rFonts w:ascii="Aptos" w:hAnsi="Aptos"/>
                <w:b w:val="0"/>
                <w:sz w:val="18"/>
              </w:rPr>
              <w:t>[NOMBRE Y APELLIDOS]</w:t>
            </w:r>
          </w:p>
        </w:tc>
      </w:tr>
      <w:tr>
        <w:tc>
          <w:tcPr>
            <w:tcW w:type="dxa" w:w="4929"/>
            <w:vAlign w:val="center"/>
          </w:tcPr>
          <w:p>
            <w:r/>
            <w:r>
              <w:rPr>
                <w:rFonts w:ascii="Aptos" w:hAnsi="Aptos"/>
                <w:b/>
                <w:sz w:val="17"/>
              </w:rPr>
              <w:t>DNI/NIE</w:t>
            </w:r>
          </w:p>
        </w:tc>
        <w:tc>
          <w:tcPr>
            <w:tcW w:type="dxa" w:w="4929"/>
            <w:vAlign w:val="center"/>
            <w:shd w:fill="FFF2CC"/>
          </w:tcPr>
          <w:p>
            <w:r/>
            <w:r>
              <w:rPr>
                <w:rFonts w:ascii="Aptos" w:hAnsi="Aptos"/>
                <w:b w:val="0"/>
                <w:sz w:val="18"/>
              </w:rPr>
              <w:t>[DNI/NIE]</w:t>
            </w:r>
          </w:p>
        </w:tc>
      </w:tr>
      <w:tr>
        <w:tc>
          <w:tcPr>
            <w:tcW w:type="dxa" w:w="4929"/>
            <w:vAlign w:val="center"/>
          </w:tcPr>
          <w:p>
            <w:r/>
            <w:r>
              <w:rPr>
                <w:rFonts w:ascii="Aptos" w:hAnsi="Aptos"/>
                <w:b/>
                <w:sz w:val="17"/>
              </w:rPr>
              <w:t>Domicilio a efectos de notificaciones</w:t>
            </w:r>
          </w:p>
        </w:tc>
        <w:tc>
          <w:tcPr>
            <w:tcW w:type="dxa" w:w="4929"/>
            <w:vAlign w:val="center"/>
            <w:shd w:fill="FFF2CC"/>
          </w:tcPr>
          <w:p>
            <w:r/>
            <w:r>
              <w:rPr>
                <w:rFonts w:ascii="Aptos" w:hAnsi="Aptos"/>
                <w:b w:val="0"/>
                <w:sz w:val="18"/>
              </w:rPr>
              <w:t>[DOMICILIO]</w:t>
            </w:r>
          </w:p>
        </w:tc>
      </w:tr>
      <w:tr>
        <w:tc>
          <w:tcPr>
            <w:tcW w:type="dxa" w:w="4929"/>
            <w:vAlign w:val="center"/>
          </w:tcPr>
          <w:p>
            <w:r/>
            <w:r>
              <w:rPr>
                <w:rFonts w:ascii="Aptos" w:hAnsi="Aptos"/>
                <w:b/>
                <w:sz w:val="17"/>
              </w:rPr>
              <w:t>Correo electrónico</w:t>
            </w:r>
          </w:p>
        </w:tc>
        <w:tc>
          <w:tcPr>
            <w:tcW w:type="dxa" w:w="4929"/>
            <w:vAlign w:val="center"/>
            <w:shd w:fill="FFF2CC"/>
          </w:tcPr>
          <w:p>
            <w:r/>
            <w:r>
              <w:rPr>
                <w:rFonts w:ascii="Aptos" w:hAnsi="Aptos"/>
                <w:b w:val="0"/>
                <w:sz w:val="18"/>
              </w:rPr>
              <w:t>[CORREO ELECTRÓNICO]</w:t>
            </w:r>
          </w:p>
        </w:tc>
      </w:tr>
      <w:tr>
        <w:tc>
          <w:tcPr>
            <w:tcW w:type="dxa" w:w="4929"/>
            <w:vAlign w:val="center"/>
          </w:tcPr>
          <w:p>
            <w:r/>
            <w:r>
              <w:rPr>
                <w:rFonts w:ascii="Aptos" w:hAnsi="Aptos"/>
                <w:b/>
                <w:sz w:val="17"/>
              </w:rPr>
              <w:t>Teléfono</w:t>
            </w:r>
          </w:p>
        </w:tc>
        <w:tc>
          <w:tcPr>
            <w:tcW w:type="dxa" w:w="4929"/>
            <w:vAlign w:val="center"/>
            <w:shd w:fill="FFF2CC"/>
          </w:tcPr>
          <w:p>
            <w:r/>
            <w:r>
              <w:rPr>
                <w:rFonts w:ascii="Aptos" w:hAnsi="Aptos"/>
                <w:b w:val="0"/>
                <w:sz w:val="18"/>
              </w:rPr>
              <w:t>[TELÉFONO]</w:t>
            </w:r>
          </w:p>
        </w:tc>
      </w:tr>
    </w:tbl>
    <w:p/>
    <w:p>
      <w:pPr>
        <w:jc w:val="both"/>
      </w:pPr>
      <w:r>
        <w:rPr>
          <w:b/>
        </w:rPr>
        <w:t xml:space="preserve">D./D.ª [NOMBRE Y APELLIDOS], </w:t>
      </w:r>
      <w:r>
        <w:t>con DNI/NIE [DNI/NIE], comparece en el trámite de información pública del expediente arriba indicado y, dentro del plazo conferido por el anuncio publicado en el Boletín Oficial de Canarias, formula las presentes ALEGACIONES, al amparo del artículo 10 del Reglamento aprobado por el Decreto 141/2009, de 10 de noviembre, y del artículo 83 de la Ley 39/2015, de 1 de octubre.</w:t>
      </w:r>
    </w:p>
    <w:p>
      <w:pPr>
        <w:jc w:val="both"/>
      </w:pPr>
      <w:r>
        <w:t>Estas alegaciones no cuestionan la conveniencia general de incorporar nueva generación renovable al sistema eléctrico canario. Su finalidad es distinta: solicitar que una instalación de esta entidad sea autorizada sobre una definición técnica inequívoca, coherente entre documentos y correctamente descrita durante la información pública.</w:t>
      </w:r>
    </w:p>
    <w:p>
      <w:r>
        <w:br w:type="page"/>
      </w:r>
    </w:p>
    <w:p>
      <w:pPr>
        <w:pStyle w:val="Heading1"/>
      </w:pPr>
      <w:r>
        <w:t>I. ANTECEDENTES</w:t>
      </w:r>
    </w:p>
    <w:p>
      <w:r>
        <w:rPr>
          <w:b/>
        </w:rPr>
        <w:t xml:space="preserve">Primero: </w:t>
      </w:r>
      <w:r>
        <w:t>El 15 de septiembre de 2026 se publicó en el BOC n.º 185 el Anuncio 3257 de la Dirección General de Energía, por el que se somete a información pública la solicitud de autorización administrativa de una instalación denominada en dicho anuncio «Planta fotovoltaica de vertido a red de potencia nominal 2.400 kW», promovida por Travesía Capital, S.L., expediente ER250026.</w:t>
      </w:r>
    </w:p>
    <w:p>
      <w:r>
        <w:rPr>
          <w:b/>
        </w:rPr>
        <w:t xml:space="preserve">Segundo: </w:t>
      </w:r>
      <w:r>
        <w:t>La documentación técnica examinada identifica expresamente la planta con la denominación «FTV STA AGUEDA - I». El proyecto técnico está firmado el 17 de marzo de 2025 y existe un Anexo I de abril de 2025 que modifica la configuración del Centro de Reparto/Entrega y el esquema unifilar de media tensión.</w:t>
      </w:r>
    </w:p>
    <w:p>
      <w:r>
        <w:rPr>
          <w:b/>
        </w:rPr>
        <w:t xml:space="preserve">Tercero: </w:t>
      </w:r>
      <w:r>
        <w:t>La revisión conjunta del proyecto, su Anexo I y el anuncio de información pública pone de manifiesto diferencias entre la instalación definida en los documentos técnicos y la instalación descrita en el propio anuncio, además de diversas contradicciones internas que afectan a cálculos, equipos y esquema de evacuación.</w:t>
      </w:r>
    </w:p>
    <w:p>
      <w:r>
        <w:rPr>
          <w:b/>
        </w:rPr>
        <w:t xml:space="preserve">Cuarto: </w:t>
      </w:r>
      <w:r>
        <w:t>Se acompaña, como Documento n.º 1, un Informe de Auditoría Técnica Documental de fecha 17 de septiembre de 2026, que desarrolla las comprobaciones y cálculos independientes que sirven de soporte a las alegaciones técnicas.</w:t>
      </w:r>
    </w:p>
    <w:p>
      <w:pPr>
        <w:pStyle w:val="Heading1"/>
      </w:pPr>
      <w:r>
        <w:t>II. MARCO PROCEDIMENTAL</w:t>
      </w:r>
    </w:p>
    <w:p>
      <w:pPr>
        <w:jc w:val="both"/>
      </w:pPr>
      <w:r>
        <w:rPr>
          <w:b/>
        </w:rPr>
        <w:t xml:space="preserve">El artículo 10.1 del Reglamento aprobado por el Decreto 141/2009 </w:t>
      </w:r>
      <w:r>
        <w:t>establece que las solicitudes de autorización administrativa de instalaciones de generación de potencia superior a 100 kW deben someterse a información pública durante treinta días mediante un «anuncio extracto» publicado en el Boletín Oficial de Canarias y en la web oficial del órgano competente.</w:t>
      </w:r>
    </w:p>
    <w:p>
      <w:pPr>
        <w:jc w:val="both"/>
      </w:pPr>
      <w:r>
        <w:rPr>
          <w:b/>
        </w:rPr>
        <w:t xml:space="preserve">El artículo 83 de la Ley 39/2015 </w:t>
      </w:r>
      <w:r>
        <w:t>dispone que el anuncio debe permitir a cualquier persona examinar el expediente y formular alegaciones. Quienes comparezcan en este trámite tienen derecho a obtener una respuesta razonada de la Administración.</w:t>
      </w:r>
    </w:p>
    <w:p>
      <w:pPr>
        <w:jc w:val="both"/>
      </w:pPr>
      <w:r>
        <w:rPr>
          <w:b/>
        </w:rPr>
        <w:t xml:space="preserve">El artículo 48.2 de la Ley 39/2015 </w:t>
      </w:r>
      <w:r>
        <w:t>aconseja, además, una formulación prudente: un defecto formal no produce automáticamente anulabilidad, sino cuando falten requisitos indispensables para alcanzar la finalidad del acto o se genere indefensión. Por ello, estas alegaciones no sostienen una nulidad automática del trámite, sino que solicitan su rectificación allí donde la información publicada no se corresponde fielmente con el proyecto.</w:t>
      </w:r>
    </w:p>
    <w:p>
      <w:pPr>
        <w:pStyle w:val="Heading1"/>
      </w:pPr>
      <w:r>
        <w:t>III. ALEGACIONES</w:t>
      </w:r>
    </w:p>
    <w:p>
      <w:pPr>
        <w:pStyle w:val="Alegacion"/>
      </w:pPr>
      <w:r>
        <w:t>PRIMERA.- Deficiente identificación nominal de la instalación en el anuncio de información pública.</w:t>
      </w:r>
    </w:p>
    <w:p>
      <w:r>
        <w:t>La portada del proyecto y la del Anexo I recogen expresamente como «Denominación planta» la expresión «FTV STA AGUEDA - I». Sin embargo, el anuncio del BOC afirma que se somete a información pública la instalación denominada «Planta fotovoltaica de vertido a red de potencia nominal 2.400 kW».</w:t>
      </w:r>
    </w:p>
    <w:p>
      <w:r>
        <w:t>La segunda expresión es el título descriptivo del proyecto, no la denominación específica con la que éste individualiza la planta. El expediente, promotor, parcela y potencia permiten reconocer la actuación, por lo que no se sostiene que esta divergencia produzca por sí misma invalidez. Sí existe una falta objetiva de correspondencia que debería corregirse para garantizar una identificación inequívoca.</w:t>
      </w:r>
    </w:p>
    <w:p>
      <w:r>
        <w:t>La propia práctica administrativa canaria muestra que las denominaciones de los proyectos sometidos a información pública se rectifican cuando contienen errores. En el BOC n.º 58/2023 se publicó una corrección específica del título de una instalación fotovoltaica para sustituir «Racho Texas» por «Rancho Texas».</w:t>
      </w:r>
    </w:p>
    <w:p>
      <w:r>
        <w:rPr>
          <w:b/>
        </w:rPr>
        <w:t xml:space="preserve">Se solicita: </w:t>
      </w:r>
      <w:r>
        <w:t>que la instalación sea identificada en las actuaciones posteriores y, en su caso, en el anuncio rectificado, por su denominación técnica completa «FTV STA AGUEDA - I», vinculada expresamente al expediente ER250026.</w:t>
      </w:r>
    </w:p>
    <w:p>
      <w:pPr>
        <w:pStyle w:val="Alegacion"/>
      </w:pPr>
      <w:r>
        <w:t>SEGUNDA.- Descripción incorrecta de la línea de evacuación en el anuncio del BOC.</w:t>
      </w:r>
    </w:p>
    <w:p>
      <w:r>
        <w:t>El anuncio describe correctamente una primera línea de interconexión entre el Centro de Transformación y el Centro de Protección General y Medida (CPGYM), de 15 m y 150 mm². Inmediatamente después, al describir la «línea de evacuación de la energía generada por la planta», vuelve a atribuirle origen en la celda de línea del centro de transformación de abonado y final en el CPGYM.</w:t>
      </w:r>
    </w:p>
    <w:p>
      <w:r>
        <w:t>Esa descripción no se corresponde con la topología desarrollada en el propio proyecto. El apartado 5.1.1 sitúa la línea de evacuación de 872 m entre el CPGYM y el Centro de Entrega. El Anexo I lo aclara aún más: la línea de evacuación tiene origen en la celda de línea del CPGYM y final en la celda de protección mediante interruptor automático y relé del Centro de Reparto.</w:t>
      </w:r>
    </w:p>
    <w:p>
      <w:r>
        <w:t>El anuncio, además, omite la longitud de 872 m de esta infraestructura. En consecuencia, quien se limite a la información publicada recibe una representación inexacta de una de las instalaciones principales objeto de autorización.</w:t>
      </w:r>
    </w:p>
    <w:p>
      <w:r>
        <w:rPr>
          <w:b/>
        </w:rPr>
        <w:t xml:space="preserve">Se solicita: </w:t>
      </w:r>
      <w:r>
        <w:t>que se rectifique el anuncio para describir correctamente la LSMT-FTV01, indicando al menos su origen en el CPGYM, su final en el Centro de Entrega/Reparto, su longitud de 872 m y la sección definitivamente adoptada. Para preservar la efectividad del trámite de participación, se solicita que la rectificación se publique oficialmente y que se conceda un nuevo plazo íntegro de información pública de treinta días desde la publicación corregida.</w:t>
      </w:r>
    </w:p>
    <w:p>
      <w:pPr>
        <w:pStyle w:val="Alegacion"/>
      </w:pPr>
      <w:r>
        <w:t>TERCERA.- Falta de una versión consolidada del proyecto tras el Anexo I.</w:t>
      </w:r>
    </w:p>
    <w:p>
      <w:r>
        <w:t>El proyecto base describe un Centro de Entrega con una determinada configuración de celdas. El Anexo I de abril de 2025 modifica esa solución: elimina una posición de reserva y sustituye la celda de llegada de la generación por una celda CGMCOSMOS-V de 630 A, 24 kV, con interruptor automático y relé ekorRPG, quedando tres celdas de línea más la citada celda de protección y la de servicios auxiliares.</w:t>
      </w:r>
    </w:p>
    <w:p>
      <w:r>
        <w:t>La modificación tiene relevancia funcional y de protección. Sin embargo, la documentación base continúa conteniendo planos, descripciones y mediciones correspondientes a la solución anterior. La coexistencia de documentos no consolidados dificulta determinar qué configuración es la definitivamente sometida a autorización y cuál debe considerarse sustituida.</w:t>
      </w:r>
    </w:p>
    <w:p>
      <w:r>
        <w:rPr>
          <w:b/>
        </w:rPr>
        <w:t xml:space="preserve">Se solicita: </w:t>
      </w:r>
      <w:r>
        <w:t>que se requiera al promotor una versión consolidada del proyecto, o al menos un índice formal de documentos vigentes y sustituidos, con memoria, esquemas, planos, mediciones y presupuesto coherentes con el Anexo I.</w:t>
      </w:r>
    </w:p>
    <w:p>
      <w:pPr>
        <w:pStyle w:val="Alegacion"/>
      </w:pPr>
      <w:r>
        <w:t>CUARTA.- Contradicción sobre la sección de la línea de evacuación de 872 m.</w:t>
      </w:r>
    </w:p>
    <w:p>
      <w:r>
        <w:t>La tabla general de líneas, las características detalladas del cable, los cálculos y los esquemas unifilares emplean para la LSMT-FTV01 conductores de aluminio de 150 mm². Sin embargo, el primer párrafo del apartado 5.1.1 afirma que la línea de evacuación se ejecutará con AL RHZ1-OL 12/20 kV 3×(1×240 mm²)+H16.</w:t>
      </w:r>
    </w:p>
    <w:p>
      <w:r>
        <w:t>No puede quedar abierta una discrepancia de este tipo en un proyecto de ejecución, porque la sección del conductor afecta a suministro, pérdidas, capacidad térmica, obra civil, presupuesto y documentación final.</w:t>
      </w:r>
    </w:p>
    <w:p>
      <w:r>
        <w:rPr>
          <w:b/>
        </w:rPr>
        <w:t xml:space="preserve">Se solicita: </w:t>
      </w:r>
      <w:r>
        <w:t>que se determine expresamente la sección definitiva y se unifiquen memoria, cálculos, planos, mediciones, presupuesto y anuncio de información pública.</w:t>
      </w:r>
    </w:p>
    <w:p>
      <w:pPr>
        <w:pStyle w:val="Alegacion"/>
      </w:pPr>
      <w:r>
        <w:t>QUINTA.- La simulación PVsyst no reproduce la configuración eléctrica de strings definida para la planta.</w:t>
      </w:r>
    </w:p>
    <w:p>
      <w:r>
        <w:t>La memoria y los planos de strings definen con carácter general 22 cadenas de 24 módulos de 600 Wp por inversor. La simulación PVsyst incorporada al proyecto modela, para cada subplanta de 2.112 módulos y cuatro inversores, «96 cadenas × 22 módulos», lo que equivale a 24 cadenas de 22 módulos por inversor.</w:t>
      </w:r>
    </w:p>
    <w:p>
      <w:r>
        <w:t>Ambas configuraciones tienen el mismo número de módulos y la misma potencia DC total, pero no son eléctricamente equivalentes. Cambian la tensión de cada cadena, la corriente total en paralelo, el reparto por seguidores MPPT y las pérdidas. PVsyst obtiene, precisamente con 22 módulos en serie, una tensión MPP de 903 V a 50 °C.</w:t>
      </w:r>
    </w:p>
    <w:p>
      <w:r>
        <w:t>Por ello, la producción estimada de 4.732.982 kWh/año y los resultados de funcionamiento no quedan plenamente acreditados para la configuración constructiva descrita en otros documentos.</w:t>
      </w:r>
    </w:p>
    <w:p>
      <w:r>
        <w:rPr>
          <w:b/>
        </w:rPr>
        <w:t xml:space="preserve">Se solicita: </w:t>
      </w:r>
      <w:r>
        <w:t>que se repita la simulación PVsyst con la configuración real definitiva de módulos por string y con el reparto real de cadenas entre MPPT, incorporando al expediente el nuevo informe de simulación y los ficheros de equipo utilizados.</w:t>
      </w:r>
    </w:p>
    <w:p>
      <w:pPr>
        <w:pStyle w:val="Alegacion"/>
      </w:pPr>
      <w:r>
        <w:t>SEXTA.- La justificación de la tensión máxima de los strings emplea parámetros que no corresponden a dicha comprobación.</w:t>
      </w:r>
    </w:p>
    <w:p>
      <w:r>
        <w:t>La ficha de características recogida en la memoria declara para el módulo una tensión de circuito abierto Voc de 53,30 V y una tensión MPP del orden de 44,5 V. Sin embargo, el apartado 2.9 utiliza 44,45 V y el coeficiente de potencia -0,29 %/°C para justificar la tensión máxima de una cadena de 24 módulos. En el apartado 2.10 se vuelve a utilizar numéricamente ese valor al tratar la tensión de los fusibles.</w:t>
      </w:r>
    </w:p>
    <w:p>
      <w:r>
        <w:t>La comprobación frente al límite de 1.500 V debe partir de Voc y del coeficiente de temperatura de Voc, considerando la temperatura mínima de diseño. Con la expresión utilizada no queda demostrada de forma técnicamente correcta la tensión máxima del string ni, por extensión, la selección de todos los componentes afectados.</w:t>
      </w:r>
    </w:p>
    <w:p>
      <w:r>
        <w:rPr>
          <w:b/>
        </w:rPr>
        <w:t xml:space="preserve">Se solicita: </w:t>
      </w:r>
      <w:r>
        <w:t>que se rehaga el cálculo de tensiones DC con Voc y Vmp, sus coeficientes térmicos específicos y las temperaturas extremas de diseño, verificando de nuevo inversores, fusibles, conectores y demás aparellaje.</w:t>
      </w:r>
    </w:p>
    <w:p>
      <w:pPr>
        <w:pStyle w:val="Alegacion"/>
      </w:pPr>
      <w:r>
        <w:t>SÉPTIMA.- No se define la envolvente de operación P-Q compatible con los transformadores de 1.250 kVA.</w:t>
      </w:r>
    </w:p>
    <w:p>
      <w:r>
        <w:t>Cada transformador de 1.250 kVA recoge cuatro inversores limitados a 300 kW, es decir, 1.200 kW de potencia activa. El propio modelo de inversor dispone de capacidad de intercambio de potencia reactiva.</w:t>
      </w:r>
    </w:p>
    <w:p>
      <w:r>
        <w:t>A 1.200 kW, el factor de potencia mínimo que permite no superar 1.250 kVA es aproximadamente 0,96. Por ejemplo, a cos φ = 0,95 la potencia aparente sería de unos 1.263 kVA. Por tanto, si la planta debe prestar control de reactiva mientras mantiene elevada potencia activa, el transformador puede convertirse en el elemento limitante.</w:t>
      </w:r>
    </w:p>
    <w:p>
      <w:r>
        <w:rPr>
          <w:b/>
        </w:rPr>
        <w:t xml:space="preserve">Se solicita: </w:t>
      </w:r>
      <w:r>
        <w:t>que el proyecto defina expresamente la envolvente P-Q admisible de la planta y el mecanismo de limitación del PPC/inversores para garantizar que los transformadores no superan su potencia asignada, o que se justifique un dimensionamiento alternativo.</w:t>
      </w:r>
    </w:p>
    <w:p>
      <w:pPr>
        <w:pStyle w:val="Alegacion"/>
      </w:pPr>
      <w:r>
        <w:t>OCTAVA.- Ambigüedad en los tarados de protección de tensión respecto de una red de 800 V.</w:t>
      </w:r>
    </w:p>
    <w:p>
      <w:r>
        <w:t>La memoria declara una salida de los inversores a 800 V trifásicos y, en el apartado inmediatamente posterior, establece umbrales de subtensión y sobretensión de 195,5 V, 253 V y 264,5 V. Esos valores resultan compatibles con porcentajes referidos a una base de 230 V, pero el proyecto no explica la base de tensión, la relación de transformación de medida ni cómo deben parametrizarse realmente las protecciones.</w:t>
      </w:r>
    </w:p>
    <w:p>
      <w:r>
        <w:t>En una instalación de generación conectada a red, la tabla de protecciones debe ser inequívoca, especialmente cuando debe coordinarse con la protección general, los transformadores de tensión y los requerimientos de la distribuidora.</w:t>
      </w:r>
    </w:p>
    <w:p>
      <w:r>
        <w:rPr>
          <w:b/>
        </w:rPr>
        <w:t xml:space="preserve">Se solicita: </w:t>
      </w:r>
      <w:r>
        <w:t>que se aporte una tabla única de protecciones con magnitudes primarias y secundarias, valores en pu cuando proceda, relaciones de TT, tiempos de actuación y coordinación con la protección general y con los requisitos de e-distribución.</w:t>
      </w:r>
    </w:p>
    <w:p>
      <w:pPr>
        <w:pStyle w:val="Alegacion"/>
      </w:pPr>
      <w:r>
        <w:t>NOVENA.- Otras inconsistencias de equipos y medida que requieren unificación documental.</w:t>
      </w:r>
    </w:p>
    <w:p>
      <w:r>
        <w:t>La revisión ha identificado varias discrepancias adicionales que, aunque pueden responder a restos de versiones anteriores, no deben permanecer en el proyecto definitivo:</w:t>
      </w:r>
    </w:p>
    <w:p>
      <w:pPr>
        <w:pStyle w:val="ListBullet"/>
        <w:spacing w:after="60"/>
      </w:pPr>
      <w:r>
        <w:t>La memoria describe transformadores de intensidad de medida 50-100/5/5, mientras el esquema unifilar actualizado muestra 60/5 A.</w:t>
      </w:r>
    </w:p>
    <w:p>
      <w:pPr>
        <w:pStyle w:val="ListBullet"/>
        <w:spacing w:after="60"/>
      </w:pPr>
      <w:r>
        <w:t>La memoria hace referencia a un transformador de servicios auxiliares 800/400/230 V de 25 kVA, mientras documentación gráfica emplea 30 kVA.</w:t>
      </w:r>
    </w:p>
    <w:p>
      <w:pPr>
        <w:pStyle w:val="ListBullet"/>
        <w:spacing w:after="60"/>
      </w:pPr>
      <w:r>
        <w:t>La solución general utiliza inversores Huawei SUN2000-330KTL-H1, pero el plano DET_3_07 identifica los ocho inversores como SUN2000-250KTL-H3.</w:t>
      </w:r>
    </w:p>
    <w:p>
      <w:r>
        <w:t>Estas diferencias afectan a medida, protecciones, adquisición de equipos, parametrización, repuestos y documentación de puesta en servicio.</w:t>
      </w:r>
    </w:p>
    <w:p>
      <w:r>
        <w:rPr>
          <w:b/>
        </w:rPr>
        <w:t xml:space="preserve">Se solicita: </w:t>
      </w:r>
      <w:r>
        <w:t>que se identifiquen los equipos definitivos y se unifiquen en toda la documentación técnica, previa conformidad de la empresa distribuidora cuando corresponda.</w:t>
      </w:r>
    </w:p>
    <w:p>
      <w:pPr>
        <w:pStyle w:val="Alegacion"/>
      </w:pPr>
      <w:r>
        <w:t>DÉCIMA.- Necesidad de cerrar la independencia entre las redes de puesta a tierra.</w:t>
      </w:r>
    </w:p>
    <w:p>
      <w:r>
        <w:t>El proyecto adopta para determinadas comprobaciones una resistividad del terreno de 200 Ω·m y una corriente real de defecto del orden de 462 A. Aplicando la expresión de separación empleada habitualmente en este tipo de justificaciones, D = ρ·Id/(2.000·π), se obtiene una distancia aproximada de 14,7 m.</w:t>
      </w:r>
    </w:p>
    <w:p>
      <w:r>
        <w:t>En la documentación gráfica aparecen cotas del orden de 14 m entre zonas de tierras. Sin afirmar a partir de esa cota aislada un incumplimiento, el margen es suficientemente estrecho como para requerir una comprobación expresa sobre la geometría definitiva, especialmente entre tierras de herrajes y tierras de servicio/neutros.</w:t>
      </w:r>
    </w:p>
    <w:p>
      <w:r>
        <w:rPr>
          <w:b/>
        </w:rPr>
        <w:t xml:space="preserve">Se solicita: </w:t>
      </w:r>
      <w:r>
        <w:t>que se aporte el plano definitivo de tierras, con cotas entre electrodos y justificación explícita de su independencia con las resistividades y corrientes de defecto finalmente adoptadas.</w:t>
      </w:r>
    </w:p>
    <w:p>
      <w:pPr>
        <w:pStyle w:val="Heading1"/>
      </w:pPr>
      <w:r>
        <w:t>IV. VALORACIÓN CONJUNTA</w:t>
      </w:r>
    </w:p>
    <w:p>
      <w:r>
        <w:t>Las incidencias expuestas no permiten concluir que la implantación de la planta sea técnicamente imposible. Sí ponen de manifiesto que el expediente contiene versiones y cálculos que deben ser corregidos antes de que la Administración pueda considerar inequívocamente definida la instalación que autoriza.</w:t>
      </w:r>
    </w:p>
    <w:p>
      <w:r>
        <w:t>La cuestión procedimental adquiere especial relevancia porque una de las discrepancias —la topología de la línea de evacuación— se ha trasladado al propio anuncio de información pública. Por ello, la subsanación interna del proyecto no basta por sí sola: la información ofrecida a terceros debe corregirse también.</w:t>
      </w:r>
    </w:p>
    <w:p>
      <w:r>
        <w:t>La solicitud de nueva publicación no se formula como consecuencia automática de cualquier errata formal, sino como una medida proporcionada para restablecer la correspondencia entre el extracto publicado y la infraestructura real sometida a autorización. Como referencia administrativa, la Dirección General de Energía publicó en 2025 una corrección de un anuncio por un enlace de consulta erróneo y abrió un nuevo plazo de treinta días desde la corrección.</w:t>
      </w:r>
    </w:p>
    <w:p>
      <w:pPr>
        <w:pStyle w:val="Heading1"/>
      </w:pPr>
      <w:r>
        <w:t>V. SOLICITUD</w:t>
      </w:r>
    </w:p>
    <w:p>
      <w:r>
        <w:rPr>
          <w:b/>
        </w:rPr>
        <w:t>Por todo lo expuesto, SOLICITO a la Dirección General de Energía:</w:t>
      </w:r>
    </w:p>
    <w:p>
      <w:pPr>
        <w:pStyle w:val="Petitum"/>
      </w:pPr>
      <w:r>
        <w:rPr>
          <w:b/>
        </w:rPr>
        <w:t xml:space="preserve">1. </w:t>
      </w:r>
      <w:r>
        <w:t>Que admita este escrito y tenga por formuladas, en tiempo y forma, las presentes alegaciones dentro del trámite de información pública del expediente ER250026.</w:t>
      </w:r>
    </w:p>
    <w:p>
      <w:pPr>
        <w:pStyle w:val="Petitum"/>
      </w:pPr>
      <w:r>
        <w:rPr>
          <w:b/>
        </w:rPr>
        <w:t xml:space="preserve">2. </w:t>
      </w:r>
      <w:r>
        <w:t>Que requiera al promotor la subsanación de las contradicciones técnicas señaladas y la presentación de una versión consolidada del proyecto, coherente con el Anexo I y con identificación inequívoca de los documentos y planos vigentes.</w:t>
      </w:r>
    </w:p>
    <w:p>
      <w:pPr>
        <w:pStyle w:val="Petitum"/>
      </w:pPr>
      <w:r>
        <w:rPr>
          <w:b/>
        </w:rPr>
        <w:t xml:space="preserve">3. </w:t>
      </w:r>
      <w:r>
        <w:t>Que se rectifique el anuncio de información pública para identificar la instalación como «FTV STA AGUEDA - I» y, especialmente, para describir correctamente la línea de evacuación LSMT-FTV01, incluyendo origen, final, longitud y sección definitiva.</w:t>
      </w:r>
    </w:p>
    <w:p>
      <w:pPr>
        <w:pStyle w:val="Petitum"/>
      </w:pPr>
      <w:r>
        <w:rPr>
          <w:b/>
        </w:rPr>
        <w:t xml:space="preserve">4. </w:t>
      </w:r>
      <w:r>
        <w:t>Que, una vez corregido el anuncio y puesta a disposición del público la documentación consolidada, se publique la rectificación y se conceda un nuevo plazo íntegro de treinta días para formular alegaciones. Subsidiariamente, si ese Centro Directivo entendiera innecesaria una nueva información pública completa, que motive expresamente tal decisión y adopte una medida equivalente que garantice el conocimiento efectivo de la documentación corregida.</w:t>
      </w:r>
    </w:p>
    <w:p>
      <w:pPr>
        <w:pStyle w:val="Petitum"/>
      </w:pPr>
      <w:r>
        <w:rPr>
          <w:b/>
        </w:rPr>
        <w:t xml:space="preserve">5. </w:t>
      </w:r>
      <w:r>
        <w:t>Que no se otorgue la autorización administrativa definitiva mientras permanezcan sin resolver las incidencias técnicas de carácter esencial relativas a configuración de strings y PVsyst, cálculo de tensiones DC, capacidad P-Q de los transformadores y parametrización de protecciones.</w:t>
      </w:r>
    </w:p>
    <w:p>
      <w:pPr>
        <w:pStyle w:val="Petitum"/>
      </w:pPr>
      <w:r>
        <w:rPr>
          <w:b/>
        </w:rPr>
        <w:t xml:space="preserve">6. </w:t>
      </w:r>
      <w:r>
        <w:t>Que se incorpore al expediente la respuesta del promotor a estas alegaciones y se facilite a quien comparece una respuesta razonada, de conformidad con el artículo 83.3 de la Ley 39/2015.</w:t>
      </w:r>
    </w:p>
    <w:p/>
    <w:p>
      <w:r>
        <w:rPr>
          <w:b/>
        </w:rPr>
        <w:t>En [MUNICIPIO], a [FECHA].</w:t>
      </w:r>
    </w:p>
    <w:p>
      <w:pPr>
        <w:spacing w:before="400"/>
      </w:pPr>
      <w:r>
        <w:br/>
        <w:br/>
        <w:t>Fdo.: [NOMBRE Y APELLIDOS]</w:t>
        <w:br/>
        <w:t>DNI/NIE: [DNI/NIE]</w:t>
      </w:r>
    </w:p>
    <w:p>
      <w:r>
        <w:br w:type="page"/>
      </w:r>
    </w:p>
    <w:p>
      <w:pPr>
        <w:pStyle w:val="Heading1"/>
      </w:pPr>
      <w:r>
        <w:t>VI. DOCUMENTACIÓN QUE SE ACOMPAÑA</w:t>
      </w:r>
    </w:p>
    <w:p>
      <w:pPr>
        <w:pStyle w:val="Petitum"/>
      </w:pPr>
      <w:r>
        <w:rPr>
          <w:b/>
        </w:rPr>
        <w:t xml:space="preserve">1. </w:t>
      </w:r>
      <w:r>
        <w:t>Informe de Auditoría Técnica Documental actualizado de la instalación FTV STA ÁGUEDA - I, expediente ER250026, de fecha 17 de septiembre de 2026.</w:t>
      </w:r>
    </w:p>
    <w:p>
      <w:pPr>
        <w:pStyle w:val="Petitum"/>
      </w:pPr>
      <w:r>
        <w:rPr>
          <w:b/>
        </w:rPr>
        <w:t xml:space="preserve">2. </w:t>
      </w:r>
      <w:r>
        <w:t>Copia del Anuncio 3257 publicado en el BOC n.º 185, de 15 de septiembre de 2026.</w:t>
      </w:r>
    </w:p>
    <w:p>
      <w:r>
        <w:t>El proyecto técnico y su Anexo I no se aportan de nuevo por formar parte del expediente sometido a información pública; se citan en este escrito mediante sus apartados y páginas internas.</w:t>
      </w:r>
    </w:p>
    <w:p>
      <w:pPr>
        <w:pStyle w:val="Heading1"/>
      </w:pPr>
      <w:r>
        <w:t>VII. CUADRO DE REFERENCIAS TÉCNICAS</w:t>
      </w:r>
    </w:p>
    <w:tbl>
      <w:tblPr>
        <w:tblStyle w:val="TableGrid"/>
        <w:tblW w:type="auto" w:w="0"/>
        <w:jc w:val="center"/>
        <w:tblLook w:firstColumn="1" w:firstRow="1" w:lastColumn="0" w:lastRow="0" w:noHBand="0" w:noVBand="1" w:val="04A0"/>
      </w:tblPr>
      <w:tblGrid>
        <w:gridCol w:w="4929"/>
        <w:gridCol w:w="4929"/>
      </w:tblGrid>
      <w:tr>
        <w:tc>
          <w:tcPr>
            <w:tcW w:type="dxa" w:w="4929"/>
            <w:vAlign w:val="center"/>
            <w:shd w:fill="1F4E79"/>
          </w:tcPr>
          <w:p>
            <w:pPr>
              <w:jc w:val="center"/>
            </w:pPr>
            <w:r/>
            <w:r>
              <w:rPr>
                <w:rFonts w:ascii="Aptos" w:hAnsi="Aptos"/>
                <w:b/>
                <w:color w:val="FFFFFF"/>
                <w:sz w:val="17"/>
              </w:rPr>
              <w:t>HECHO / DATO</w:t>
            </w:r>
          </w:p>
        </w:tc>
        <w:tc>
          <w:tcPr>
            <w:tcW w:type="dxa" w:w="4929"/>
            <w:vAlign w:val="center"/>
            <w:shd w:fill="1F4E79"/>
          </w:tcPr>
          <w:p>
            <w:pPr>
              <w:jc w:val="center"/>
            </w:pPr>
            <w:r/>
            <w:r>
              <w:rPr>
                <w:rFonts w:ascii="Aptos" w:hAnsi="Aptos"/>
                <w:b/>
                <w:color w:val="FFFFFF"/>
                <w:sz w:val="17"/>
              </w:rPr>
              <w:t>LOCALIZACIÓN DOCUMENTAL</w:t>
            </w:r>
          </w:p>
        </w:tc>
      </w:tr>
      <w:tr>
        <w:tc>
          <w:tcPr>
            <w:tcW w:type="dxa" w:w="4929"/>
            <w:vAlign w:val="center"/>
          </w:tcPr>
          <w:p>
            <w:r/>
            <w:r>
              <w:rPr>
                <w:rFonts w:ascii="Aptos" w:hAnsi="Aptos"/>
                <w:b w:val="0"/>
                <w:sz w:val="16"/>
              </w:rPr>
              <w:t>Denominación «FTV STA AGUEDA - I»</w:t>
            </w:r>
          </w:p>
        </w:tc>
        <w:tc>
          <w:tcPr>
            <w:tcW w:type="dxa" w:w="4929"/>
            <w:vAlign w:val="center"/>
          </w:tcPr>
          <w:p>
            <w:r/>
            <w:r>
              <w:rPr>
                <w:rFonts w:ascii="Aptos" w:hAnsi="Aptos"/>
                <w:b w:val="0"/>
                <w:sz w:val="16"/>
              </w:rPr>
              <w:t>Portada del proyecto y portada del Anexo I</w:t>
            </w:r>
          </w:p>
        </w:tc>
      </w:tr>
      <w:tr>
        <w:tc>
          <w:tcPr>
            <w:tcW w:type="dxa" w:w="4929"/>
            <w:vAlign w:val="center"/>
          </w:tcPr>
          <w:p>
            <w:r/>
            <w:r>
              <w:rPr>
                <w:rFonts w:ascii="Aptos" w:hAnsi="Aptos"/>
                <w:b w:val="0"/>
                <w:sz w:val="16"/>
              </w:rPr>
              <w:t>Anuncio ER250026 con denominación genérica</w:t>
            </w:r>
          </w:p>
        </w:tc>
        <w:tc>
          <w:tcPr>
            <w:tcW w:type="dxa" w:w="4929"/>
            <w:vAlign w:val="center"/>
          </w:tcPr>
          <w:p>
            <w:r/>
            <w:r>
              <w:rPr>
                <w:rFonts w:ascii="Aptos" w:hAnsi="Aptos"/>
                <w:b w:val="0"/>
                <w:sz w:val="16"/>
              </w:rPr>
              <w:t>BOC 185/2026, Anuncio 3257, pág. 34646</w:t>
            </w:r>
          </w:p>
        </w:tc>
      </w:tr>
      <w:tr>
        <w:tc>
          <w:tcPr>
            <w:tcW w:type="dxa" w:w="4929"/>
            <w:vAlign w:val="center"/>
          </w:tcPr>
          <w:p>
            <w:r/>
            <w:r>
              <w:rPr>
                <w:rFonts w:ascii="Aptos" w:hAnsi="Aptos"/>
                <w:b w:val="0"/>
                <w:sz w:val="16"/>
              </w:rPr>
              <w:t>Línea CT-CPGYM, 15 m, 150 mm²</w:t>
            </w:r>
          </w:p>
        </w:tc>
        <w:tc>
          <w:tcPr>
            <w:tcW w:type="dxa" w:w="4929"/>
            <w:vAlign w:val="center"/>
          </w:tcPr>
          <w:p>
            <w:r/>
            <w:r>
              <w:rPr>
                <w:rFonts w:ascii="Aptos" w:hAnsi="Aptos"/>
                <w:b w:val="0"/>
                <w:sz w:val="16"/>
              </w:rPr>
              <w:t>Memoria general y BOC 185/2026, pág. 34647</w:t>
            </w:r>
          </w:p>
        </w:tc>
      </w:tr>
      <w:tr>
        <w:tc>
          <w:tcPr>
            <w:tcW w:type="dxa" w:w="4929"/>
            <w:vAlign w:val="center"/>
          </w:tcPr>
          <w:p>
            <w:r/>
            <w:r>
              <w:rPr>
                <w:rFonts w:ascii="Aptos" w:hAnsi="Aptos"/>
                <w:b w:val="0"/>
                <w:sz w:val="16"/>
              </w:rPr>
              <w:t>LSMT-FTV01, evacuación de 872 m</w:t>
            </w:r>
          </w:p>
        </w:tc>
        <w:tc>
          <w:tcPr>
            <w:tcW w:type="dxa" w:w="4929"/>
            <w:vAlign w:val="center"/>
          </w:tcPr>
          <w:p>
            <w:r/>
            <w:r>
              <w:rPr>
                <w:rFonts w:ascii="Aptos" w:hAnsi="Aptos"/>
                <w:b w:val="0"/>
                <w:sz w:val="16"/>
              </w:rPr>
              <w:t>Memoria, apdo. 5.1 y 5.1.1, págs. 42-43/151</w:t>
            </w:r>
          </w:p>
        </w:tc>
      </w:tr>
      <w:tr>
        <w:tc>
          <w:tcPr>
            <w:tcW w:type="dxa" w:w="4929"/>
            <w:vAlign w:val="center"/>
          </w:tcPr>
          <w:p>
            <w:r/>
            <w:r>
              <w:rPr>
                <w:rFonts w:ascii="Aptos" w:hAnsi="Aptos"/>
                <w:b w:val="0"/>
                <w:sz w:val="16"/>
              </w:rPr>
              <w:t>Aclaración origen CPGYM → Centro de Reparto</w:t>
            </w:r>
          </w:p>
        </w:tc>
        <w:tc>
          <w:tcPr>
            <w:tcW w:type="dxa" w:w="4929"/>
            <w:vAlign w:val="center"/>
          </w:tcPr>
          <w:p>
            <w:r/>
            <w:r>
              <w:rPr>
                <w:rFonts w:ascii="Aptos" w:hAnsi="Aptos"/>
                <w:b w:val="0"/>
                <w:sz w:val="16"/>
              </w:rPr>
              <w:t>Anexo I, apdo. 1.1, pág. 1/6</w:t>
            </w:r>
          </w:p>
        </w:tc>
      </w:tr>
      <w:tr>
        <w:tc>
          <w:tcPr>
            <w:tcW w:type="dxa" w:w="4929"/>
            <w:vAlign w:val="center"/>
          </w:tcPr>
          <w:p>
            <w:r/>
            <w:r>
              <w:rPr>
                <w:rFonts w:ascii="Aptos" w:hAnsi="Aptos"/>
                <w:b w:val="0"/>
                <w:sz w:val="16"/>
              </w:rPr>
              <w:t>Configuración final Centro de Reparto</w:t>
            </w:r>
          </w:p>
        </w:tc>
        <w:tc>
          <w:tcPr>
            <w:tcW w:type="dxa" w:w="4929"/>
            <w:vAlign w:val="center"/>
          </w:tcPr>
          <w:p>
            <w:r/>
            <w:r>
              <w:rPr>
                <w:rFonts w:ascii="Aptos" w:hAnsi="Aptos"/>
                <w:b w:val="0"/>
                <w:sz w:val="16"/>
              </w:rPr>
              <w:t>Anexo I, apdo. 1.4, pág. 6/6</w:t>
            </w:r>
          </w:p>
        </w:tc>
      </w:tr>
      <w:tr>
        <w:tc>
          <w:tcPr>
            <w:tcW w:type="dxa" w:w="4929"/>
            <w:vAlign w:val="center"/>
          </w:tcPr>
          <w:p>
            <w:r/>
            <w:r>
              <w:rPr>
                <w:rFonts w:ascii="Aptos" w:hAnsi="Aptos"/>
                <w:b w:val="0"/>
                <w:sz w:val="16"/>
              </w:rPr>
              <w:t>22 cadenas de 24 módulos por inversor</w:t>
            </w:r>
          </w:p>
        </w:tc>
        <w:tc>
          <w:tcPr>
            <w:tcW w:type="dxa" w:w="4929"/>
            <w:vAlign w:val="center"/>
          </w:tcPr>
          <w:p>
            <w:r/>
            <w:r>
              <w:rPr>
                <w:rFonts w:ascii="Aptos" w:hAnsi="Aptos"/>
                <w:b w:val="0"/>
                <w:sz w:val="16"/>
              </w:rPr>
              <w:t>Memoria, apdo. 2.1 y planos de strings</w:t>
            </w:r>
          </w:p>
        </w:tc>
      </w:tr>
      <w:tr>
        <w:tc>
          <w:tcPr>
            <w:tcW w:type="dxa" w:w="4929"/>
            <w:vAlign w:val="center"/>
          </w:tcPr>
          <w:p>
            <w:r/>
            <w:r>
              <w:rPr>
                <w:rFonts w:ascii="Aptos" w:hAnsi="Aptos"/>
                <w:b w:val="0"/>
                <w:sz w:val="16"/>
              </w:rPr>
              <w:t>PVsyst: 96 cadenas × 22 módulos por subplanta</w:t>
            </w:r>
          </w:p>
        </w:tc>
        <w:tc>
          <w:tcPr>
            <w:tcW w:type="dxa" w:w="4929"/>
            <w:vAlign w:val="center"/>
          </w:tcPr>
          <w:p>
            <w:r/>
            <w:r>
              <w:rPr>
                <w:rFonts w:ascii="Aptos" w:hAnsi="Aptos"/>
                <w:b w:val="0"/>
                <w:sz w:val="16"/>
              </w:rPr>
              <w:t>Informe PVsyst, pág. 3/9</w:t>
            </w:r>
          </w:p>
        </w:tc>
      </w:tr>
      <w:tr>
        <w:tc>
          <w:tcPr>
            <w:tcW w:type="dxa" w:w="4929"/>
            <w:vAlign w:val="center"/>
          </w:tcPr>
          <w:p>
            <w:r/>
            <w:r>
              <w:rPr>
                <w:rFonts w:ascii="Aptos" w:hAnsi="Aptos"/>
                <w:b w:val="0"/>
                <w:sz w:val="16"/>
              </w:rPr>
              <w:t>Voc 53,30 V; Vmp ~44,5 V</w:t>
            </w:r>
          </w:p>
        </w:tc>
        <w:tc>
          <w:tcPr>
            <w:tcW w:type="dxa" w:w="4929"/>
            <w:vAlign w:val="center"/>
          </w:tcPr>
          <w:p>
            <w:r/>
            <w:r>
              <w:rPr>
                <w:rFonts w:ascii="Aptos" w:hAnsi="Aptos"/>
                <w:b w:val="0"/>
                <w:sz w:val="16"/>
              </w:rPr>
              <w:t>Memoria, apdo. 2.5, págs. 20-21/151</w:t>
            </w:r>
          </w:p>
        </w:tc>
      </w:tr>
      <w:tr>
        <w:tc>
          <w:tcPr>
            <w:tcW w:type="dxa" w:w="4929"/>
            <w:vAlign w:val="center"/>
          </w:tcPr>
          <w:p>
            <w:r/>
            <w:r>
              <w:rPr>
                <w:rFonts w:ascii="Aptos" w:hAnsi="Aptos"/>
                <w:b w:val="0"/>
                <w:sz w:val="16"/>
              </w:rPr>
              <w:t>Cálculo de string con 44,45 V y 0,0029</w:t>
            </w:r>
          </w:p>
        </w:tc>
        <w:tc>
          <w:tcPr>
            <w:tcW w:type="dxa" w:w="4929"/>
            <w:vAlign w:val="center"/>
          </w:tcPr>
          <w:p>
            <w:r/>
            <w:r>
              <w:rPr>
                <w:rFonts w:ascii="Aptos" w:hAnsi="Aptos"/>
                <w:b w:val="0"/>
                <w:sz w:val="16"/>
              </w:rPr>
              <w:t>Memoria, apdos. 2.9 y 2.10, págs. 22-23/151</w:t>
            </w:r>
          </w:p>
        </w:tc>
      </w:tr>
      <w:tr>
        <w:tc>
          <w:tcPr>
            <w:tcW w:type="dxa" w:w="4929"/>
            <w:vAlign w:val="center"/>
          </w:tcPr>
          <w:p>
            <w:r/>
            <w:r>
              <w:rPr>
                <w:rFonts w:ascii="Aptos" w:hAnsi="Aptos"/>
                <w:b w:val="0"/>
                <w:sz w:val="16"/>
              </w:rPr>
              <w:t>2 × 1.250 kVA; 8 × 300 kW</w:t>
            </w:r>
          </w:p>
        </w:tc>
        <w:tc>
          <w:tcPr>
            <w:tcW w:type="dxa" w:w="4929"/>
            <w:vAlign w:val="center"/>
          </w:tcPr>
          <w:p>
            <w:r/>
            <w:r>
              <w:rPr>
                <w:rFonts w:ascii="Aptos" w:hAnsi="Aptos"/>
                <w:b w:val="0"/>
                <w:sz w:val="16"/>
              </w:rPr>
              <w:t>Memoria general y PVsyst</w:t>
            </w:r>
          </w:p>
        </w:tc>
      </w:tr>
      <w:tr>
        <w:tc>
          <w:tcPr>
            <w:tcW w:type="dxa" w:w="4929"/>
            <w:vAlign w:val="center"/>
          </w:tcPr>
          <w:p>
            <w:r/>
            <w:r>
              <w:rPr>
                <w:rFonts w:ascii="Aptos" w:hAnsi="Aptos"/>
                <w:b w:val="0"/>
                <w:sz w:val="16"/>
              </w:rPr>
              <w:t>Tarados 195,5 / 253 / 264,5 V</w:t>
            </w:r>
          </w:p>
        </w:tc>
        <w:tc>
          <w:tcPr>
            <w:tcW w:type="dxa" w:w="4929"/>
            <w:vAlign w:val="center"/>
          </w:tcPr>
          <w:p>
            <w:r/>
            <w:r>
              <w:rPr>
                <w:rFonts w:ascii="Aptos" w:hAnsi="Aptos"/>
                <w:b w:val="0"/>
                <w:sz w:val="16"/>
              </w:rPr>
              <w:t>Memoria, apdo. 2.4, pág. 19/151</w:t>
            </w:r>
          </w:p>
        </w:tc>
      </w:tr>
      <w:tr>
        <w:tc>
          <w:tcPr>
            <w:tcW w:type="dxa" w:w="4929"/>
            <w:vAlign w:val="center"/>
          </w:tcPr>
          <w:p>
            <w:r/>
            <w:r>
              <w:rPr>
                <w:rFonts w:ascii="Aptos" w:hAnsi="Aptos"/>
                <w:b w:val="0"/>
                <w:sz w:val="16"/>
              </w:rPr>
              <w:t>TI 50-100/5/5 vs 60/5 A</w:t>
            </w:r>
          </w:p>
        </w:tc>
        <w:tc>
          <w:tcPr>
            <w:tcW w:type="dxa" w:w="4929"/>
            <w:vAlign w:val="center"/>
          </w:tcPr>
          <w:p>
            <w:r/>
            <w:r>
              <w:rPr>
                <w:rFonts w:ascii="Aptos" w:hAnsi="Aptos"/>
                <w:b w:val="0"/>
                <w:sz w:val="16"/>
              </w:rPr>
              <w:t>Memoria inicial / esquema MT Rev.1</w:t>
            </w:r>
          </w:p>
        </w:tc>
      </w:tr>
      <w:tr>
        <w:tc>
          <w:tcPr>
            <w:tcW w:type="dxa" w:w="4929"/>
            <w:vAlign w:val="center"/>
          </w:tcPr>
          <w:p>
            <w:r/>
            <w:r>
              <w:rPr>
                <w:rFonts w:ascii="Aptos" w:hAnsi="Aptos"/>
                <w:b w:val="0"/>
                <w:sz w:val="16"/>
              </w:rPr>
              <w:t>Inversores SUN2000-250KTL-H3 en plano</w:t>
            </w:r>
          </w:p>
        </w:tc>
        <w:tc>
          <w:tcPr>
            <w:tcW w:type="dxa" w:w="4929"/>
            <w:vAlign w:val="center"/>
          </w:tcPr>
          <w:p>
            <w:r/>
            <w:r>
              <w:rPr>
                <w:rFonts w:ascii="Aptos" w:hAnsi="Aptos"/>
                <w:b w:val="0"/>
                <w:sz w:val="16"/>
              </w:rPr>
              <w:t>Plano DET_3_07</w:t>
            </w:r>
          </w:p>
        </w:tc>
      </w:tr>
    </w:tbl>
    <w:p>
      <w:pPr>
        <w:pStyle w:val="Heading1"/>
      </w:pPr>
      <w:r>
        <w:t>VIII. REFERENCIAS NORMATIVAS Y PRECEDENTES ADMINISTRATIVOS</w:t>
      </w:r>
    </w:p>
    <w:p>
      <w:pPr>
        <w:pStyle w:val="Small"/>
      </w:pPr>
      <w:hyperlink r:id="rId11">
        <w:r>
          <w:rPr>
            <w:color w:val="0563C1"/>
            <w:u w:val="single"/>
          </w:rPr>
          <w:t>Decreto 141/2009, de 10 de noviembre. Artículo 10: información pública de instalaciones eléctricas.</w:t>
        </w:r>
      </w:hyperlink>
    </w:p>
    <w:p>
      <w:pPr>
        <w:pStyle w:val="Small"/>
      </w:pPr>
      <w:hyperlink r:id="rId12">
        <w:r>
          <w:rPr>
            <w:color w:val="0563C1"/>
            <w:u w:val="single"/>
          </w:rPr>
          <w:t>Ley 39/2015, de 1 de octubre. Artículos 48.2 y 83.</w:t>
        </w:r>
      </w:hyperlink>
    </w:p>
    <w:p>
      <w:pPr>
        <w:pStyle w:val="Small"/>
      </w:pPr>
      <w:hyperlink r:id="rId13">
        <w:r>
          <w:rPr>
            <w:color w:val="0563C1"/>
            <w:u w:val="single"/>
          </w:rPr>
          <w:t>BOC 185/2026, Anuncio 3257, expediente ER250026.</w:t>
        </w:r>
      </w:hyperlink>
    </w:p>
    <w:p>
      <w:pPr>
        <w:pStyle w:val="Small"/>
      </w:pPr>
      <w:hyperlink r:id="rId14">
        <w:r>
          <w:rPr>
            <w:color w:val="0563C1"/>
            <w:u w:val="single"/>
          </w:rPr>
          <w:t>BOC 58/2023, Anuncio 865: corrección de «Racho Texas» a «Rancho Texas».</w:t>
        </w:r>
      </w:hyperlink>
    </w:p>
    <w:p>
      <w:pPr>
        <w:pStyle w:val="Small"/>
      </w:pPr>
      <w:hyperlink r:id="rId15">
        <w:r>
          <w:rPr>
            <w:color w:val="0563C1"/>
            <w:u w:val="single"/>
          </w:rPr>
          <w:t>BOC 125/2025, Anuncio 2351: corrección de enlace de consulta y nuevo plazo de treinta días.</w:t>
        </w:r>
      </w:hyperlink>
    </w:p>
    <w:p>
      <w:pPr>
        <w:pStyle w:val="Small"/>
      </w:pPr>
      <w:r>
        <w:t>Nota: las referencias a los precedentes administrativos se utilizan como criterio de práctica administrativa y no como fuentes vinculantes equivalentes a una norma o a jurisprudencia. El escrito mantiene deliberadamente una petición de rectificación y subsanación, sin afirmar una nulidad automática del procedimiento.</w:t>
      </w:r>
    </w:p>
    <w:sectPr w:rsidR="00FC693F" w:rsidRPr="0006063C" w:rsidSect="00034616">
      <w:headerReference w:type="default" r:id="rId9"/>
      <w:footerReference w:type="default" r:id="rId10"/>
      <w:pgSz w:w="12240" w:h="15840"/>
      <w:pgMar w:top="1077" w:right="1134"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Página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right"/>
    </w:pPr>
    <w:r>
      <w:t>ALEGACIONES · EXPEDIENTE ER250026 · FTV STA ÁGUEDA - 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2F5496"/>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F4E79"/>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legacion">
    <w:name w:val="Alegacion"/>
    <w:pPr>
      <w:spacing w:before="200" w:after="100"/>
    </w:pPr>
    <w:rPr>
      <w:rFonts w:ascii="Aptos" w:hAnsi="Aptos"/>
      <w:b/>
      <w:color w:val="1F4E79"/>
      <w:sz w:val="23"/>
    </w:rPr>
  </w:style>
  <w:style w:type="paragraph" w:customStyle="1" w:styleId="Petitum">
    <w:name w:val="Petitum"/>
    <w:pPr>
      <w:spacing w:after="80"/>
      <w:ind w:left="198" w:hanging="198"/>
    </w:pPr>
    <w:rPr>
      <w:rFonts w:ascii="Aptos" w:hAnsi="Aptos"/>
      <w:sz w:val="21"/>
    </w:rPr>
  </w:style>
  <w:style w:type="paragraph" w:customStyle="1" w:styleId="Small">
    <w:name w:val="Small"/>
    <w:rPr>
      <w:rFonts w:ascii="Aptos" w:hAnsi="Aptos"/>
      <w:color w:val="555555"/>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obiernodecanarias.org/boc/2009/230/003.html" TargetMode="External"/><Relationship Id="rId12" Type="http://schemas.openxmlformats.org/officeDocument/2006/relationships/hyperlink" Target="https://www.boe.es/buscar/act.php?id=BOE-A-2015-10565" TargetMode="External"/><Relationship Id="rId13" Type="http://schemas.openxmlformats.org/officeDocument/2006/relationships/hyperlink" Target="https://www.gobiernodecanarias.org/boc/2026/185/3257.html" TargetMode="External"/><Relationship Id="rId14" Type="http://schemas.openxmlformats.org/officeDocument/2006/relationships/hyperlink" Target="https://www.gobiernodecanarias.org/boc/2023/058/018.html" TargetMode="External"/><Relationship Id="rId15" Type="http://schemas.openxmlformats.org/officeDocument/2006/relationships/hyperlink" Target="https://www.gobiernodecanarias.org/boc/2025/125/235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